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46F8" w14:textId="49228B96" w:rsidR="008543AD" w:rsidRPr="002A6F3E" w:rsidRDefault="008543AD" w:rsidP="002A6F3E">
      <w:pPr>
        <w:spacing w:after="0" w:line="360" w:lineRule="atLeast"/>
        <w:jc w:val="center"/>
        <w:outlineLvl w:val="0"/>
        <w:rPr>
          <w:b/>
          <w:sz w:val="32"/>
          <w:szCs w:val="32"/>
        </w:rPr>
      </w:pPr>
      <w:hyperlink r:id="rId7" w:history="1">
        <w:r w:rsidRPr="002A6F3E">
          <w:rPr>
            <w:b/>
            <w:sz w:val="32"/>
            <w:szCs w:val="32"/>
          </w:rPr>
          <w:t xml:space="preserve">Financial </w:t>
        </w:r>
        <w:r w:rsidR="002A6F3E">
          <w:rPr>
            <w:b/>
            <w:sz w:val="32"/>
            <w:szCs w:val="32"/>
          </w:rPr>
          <w:t>S</w:t>
        </w:r>
        <w:r w:rsidRPr="002A6F3E">
          <w:rPr>
            <w:b/>
            <w:sz w:val="32"/>
            <w:szCs w:val="32"/>
          </w:rPr>
          <w:t xml:space="preserve">tatement </w:t>
        </w:r>
        <w:r w:rsidR="002A6F3E">
          <w:rPr>
            <w:b/>
            <w:sz w:val="32"/>
            <w:szCs w:val="32"/>
          </w:rPr>
          <w:t>P</w:t>
        </w:r>
        <w:r w:rsidRPr="002A6F3E">
          <w:rPr>
            <w:b/>
            <w:sz w:val="32"/>
            <w:szCs w:val="32"/>
          </w:rPr>
          <w:t>reparation</w:t>
        </w:r>
      </w:hyperlink>
    </w:p>
    <w:p w14:paraId="314E3DD8" w14:textId="77777777" w:rsidR="002A6F3E" w:rsidRDefault="002A6F3E" w:rsidP="008543AD">
      <w:pPr>
        <w:spacing w:after="0" w:line="360" w:lineRule="atLeast"/>
        <w:jc w:val="both"/>
        <w:outlineLvl w:val="0"/>
        <w:rPr>
          <w:b/>
        </w:rPr>
      </w:pPr>
    </w:p>
    <w:p w14:paraId="67D23DB5" w14:textId="592B7E7D" w:rsidR="008543AD" w:rsidRPr="002A6F3E" w:rsidRDefault="008543AD" w:rsidP="002A6F3E">
      <w:p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The preparation of </w:t>
      </w:r>
      <w:hyperlink r:id="rId8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financial statements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involves the process of aggregating accounting information into a standardized set of financials. The completed financial statements are then distributed to </w:t>
      </w:r>
      <w:hyperlink r:id="rId9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lenders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, </w:t>
      </w:r>
      <w:hyperlink r:id="rId10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creditors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, and </w:t>
      </w:r>
      <w:hyperlink r:id="rId11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investors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, who use them to evaluate the performance, </w:t>
      </w:r>
      <w:hyperlink r:id="rId12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liquidity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, and </w:t>
      </w:r>
      <w:hyperlink r:id="rId13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cash flows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of a business.</w:t>
      </w:r>
    </w:p>
    <w:p w14:paraId="079629A4" w14:textId="77777777" w:rsidR="008543AD" w:rsidRPr="002A6F3E" w:rsidRDefault="008543AD" w:rsidP="002A6F3E">
      <w:p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The preparation of financial statements includes the following steps (the exact order may vary by company):</w:t>
      </w:r>
    </w:p>
    <w:p w14:paraId="398C1653" w14:textId="4E413BA1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Compare the receiving log to </w:t>
      </w:r>
      <w:hyperlink r:id="rId14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accounts payable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to ensure that all supplier invoices have been received. </w:t>
      </w:r>
      <w:hyperlink r:id="rId15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Accrue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the expense for any invoices that have not been received.</w:t>
      </w:r>
    </w:p>
    <w:p w14:paraId="37996249" w14:textId="77777777" w:rsidR="002A6F3E" w:rsidRDefault="002A6F3E" w:rsidP="002A6F3E">
      <w:pPr>
        <w:pStyle w:val="ListParagraph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BBE2FFF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Compare the shipping log to </w:t>
      </w:r>
      <w:hyperlink r:id="rId16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accounts receivable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to ensure that all customer invoices have been issued. Issue any invoices that have not yet been prepared.</w:t>
      </w:r>
    </w:p>
    <w:p w14:paraId="0A4413D2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6A120504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Accrue an expense for any </w:t>
      </w:r>
      <w:hyperlink r:id="rId17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wages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earned but not yet paid as of the end of the </w:t>
      </w:r>
      <w:hyperlink r:id="rId18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reporting period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14:paraId="505754ED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68A0DAA9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Calculate </w:t>
      </w:r>
      <w:hyperlink r:id="rId19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depreciation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and </w:t>
      </w:r>
      <w:hyperlink r:id="rId20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amortization expense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for all </w:t>
      </w:r>
      <w:hyperlink r:id="rId21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fixed assets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in the </w:t>
      </w:r>
      <w:hyperlink r:id="rId22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accounting records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14:paraId="7DF178B5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C4DECA1" w14:textId="77777777" w:rsidR="002A6F3E" w:rsidRDefault="008543AD" w:rsidP="00AB6DA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AB6DA1">
        <w:rPr>
          <w:rFonts w:ascii="Arial" w:hAnsi="Arial" w:cs="Arial"/>
          <w:color w:val="111111"/>
          <w:sz w:val="20"/>
          <w:szCs w:val="20"/>
        </w:rPr>
        <w:t>Conduct an ending </w:t>
      </w:r>
      <w:hyperlink r:id="rId23" w:history="1">
        <w:r w:rsidRPr="00AB6DA1">
          <w:rPr>
            <w:rFonts w:ascii="Arial" w:hAnsi="Arial" w:cs="Arial"/>
            <w:color w:val="111111"/>
            <w:sz w:val="20"/>
            <w:szCs w:val="20"/>
          </w:rPr>
          <w:t>physical inventory count</w:t>
        </w:r>
      </w:hyperlink>
      <w:r w:rsidRPr="00AB6DA1">
        <w:rPr>
          <w:rFonts w:ascii="Arial" w:hAnsi="Arial" w:cs="Arial"/>
          <w:color w:val="111111"/>
          <w:sz w:val="20"/>
          <w:szCs w:val="20"/>
        </w:rPr>
        <w:t>, or use an alternative method to estimate the </w:t>
      </w:r>
      <w:hyperlink r:id="rId24" w:history="1">
        <w:r w:rsidRPr="00AB6DA1">
          <w:rPr>
            <w:rFonts w:ascii="Arial" w:hAnsi="Arial" w:cs="Arial"/>
            <w:color w:val="111111"/>
            <w:sz w:val="20"/>
            <w:szCs w:val="20"/>
          </w:rPr>
          <w:t>ending inventory</w:t>
        </w:r>
      </w:hyperlink>
      <w:r w:rsidRPr="00AB6DA1">
        <w:rPr>
          <w:rFonts w:ascii="Arial" w:hAnsi="Arial" w:cs="Arial"/>
          <w:color w:val="111111"/>
          <w:sz w:val="20"/>
          <w:szCs w:val="20"/>
        </w:rPr>
        <w:t> balance. Use this information to derive the </w:t>
      </w:r>
      <w:hyperlink r:id="rId25" w:history="1">
        <w:r w:rsidRPr="00AB6DA1">
          <w:rPr>
            <w:rFonts w:ascii="Arial" w:hAnsi="Arial" w:cs="Arial"/>
            <w:color w:val="111111"/>
            <w:sz w:val="20"/>
            <w:szCs w:val="20"/>
          </w:rPr>
          <w:t>cost of goods sold</w:t>
        </w:r>
      </w:hyperlink>
      <w:r w:rsidRPr="00AB6DA1">
        <w:rPr>
          <w:rFonts w:ascii="Arial" w:hAnsi="Arial" w:cs="Arial"/>
          <w:color w:val="111111"/>
          <w:sz w:val="20"/>
          <w:szCs w:val="20"/>
        </w:rPr>
        <w:t>, and record the amount in the accounting records.</w:t>
      </w:r>
    </w:p>
    <w:p w14:paraId="147BAC71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6A8017BB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AB6DA1">
        <w:rPr>
          <w:rFonts w:ascii="Arial" w:hAnsi="Arial" w:cs="Arial"/>
          <w:color w:val="111111"/>
          <w:sz w:val="20"/>
          <w:szCs w:val="20"/>
        </w:rPr>
        <w:t>Conduct a </w:t>
      </w:r>
      <w:hyperlink r:id="rId26" w:history="1">
        <w:r w:rsidRPr="00AB6DA1">
          <w:rPr>
            <w:rFonts w:ascii="Arial" w:hAnsi="Arial" w:cs="Arial"/>
            <w:color w:val="111111"/>
            <w:sz w:val="20"/>
            <w:szCs w:val="20"/>
          </w:rPr>
          <w:t>bank reconciliation</w:t>
        </w:r>
      </w:hyperlink>
      <w:r w:rsidRPr="00AB6DA1">
        <w:rPr>
          <w:rFonts w:ascii="Arial" w:hAnsi="Arial" w:cs="Arial"/>
          <w:color w:val="111111"/>
          <w:sz w:val="20"/>
          <w:szCs w:val="20"/>
        </w:rPr>
        <w:t>, and create </w:t>
      </w:r>
      <w:hyperlink r:id="rId27" w:history="1">
        <w:r w:rsidRPr="00AB6DA1">
          <w:rPr>
            <w:rFonts w:ascii="Arial" w:hAnsi="Arial" w:cs="Arial"/>
            <w:color w:val="111111"/>
            <w:sz w:val="20"/>
            <w:szCs w:val="20"/>
          </w:rPr>
          <w:t>journal entries</w:t>
        </w:r>
      </w:hyperlink>
      <w:r w:rsidRPr="00AB6DA1">
        <w:rPr>
          <w:rFonts w:ascii="Arial" w:hAnsi="Arial" w:cs="Arial"/>
          <w:color w:val="111111"/>
          <w:sz w:val="20"/>
          <w:szCs w:val="20"/>
        </w:rPr>
        <w:t> to record all adjustments required to match the accounting records to the </w:t>
      </w:r>
      <w:hyperlink r:id="rId28" w:history="1">
        <w:r w:rsidRPr="00AB6DA1">
          <w:rPr>
            <w:rFonts w:ascii="Arial" w:hAnsi="Arial" w:cs="Arial"/>
            <w:color w:val="111111"/>
            <w:sz w:val="20"/>
            <w:szCs w:val="20"/>
          </w:rPr>
          <w:t>bank statement</w:t>
        </w:r>
      </w:hyperlink>
      <w:r w:rsidRPr="00AB6DA1">
        <w:rPr>
          <w:rFonts w:ascii="Arial" w:hAnsi="Arial" w:cs="Arial"/>
          <w:color w:val="111111"/>
          <w:sz w:val="20"/>
          <w:szCs w:val="20"/>
        </w:rPr>
        <w:t>.</w:t>
      </w:r>
    </w:p>
    <w:p w14:paraId="4F1B5812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66DB2091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Post all </w:t>
      </w:r>
      <w:hyperlink r:id="rId29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subsidiary ledger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balances to the </w:t>
      </w:r>
      <w:hyperlink r:id="rId30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general ledger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14:paraId="7F7D370F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1F2FA38D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Review the </w:t>
      </w:r>
      <w:hyperlink r:id="rId31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balance sheet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 accounts, and use journal entries to adjust account balances to match the supporting detail.</w:t>
      </w:r>
    </w:p>
    <w:p w14:paraId="01A2131F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111DC13F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Print a preliminary version of the financial statements and review them for errors. There will likely be several errors, so create journal entries to correct them, and print the financial statements again.</w:t>
      </w:r>
    </w:p>
    <w:p w14:paraId="3D8B3766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50C681CB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Accrue an </w:t>
      </w:r>
      <w:hyperlink r:id="rId32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income tax expense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, based on the corrected </w:t>
      </w:r>
      <w:hyperlink r:id="rId33" w:history="1">
        <w:r w:rsidRPr="002A6F3E">
          <w:rPr>
            <w:rFonts w:ascii="Arial" w:hAnsi="Arial" w:cs="Arial"/>
            <w:color w:val="111111"/>
            <w:sz w:val="20"/>
            <w:szCs w:val="20"/>
            <w:shd w:val="clear" w:color="auto" w:fill="FFFFFF"/>
          </w:rPr>
          <w:t>income statement</w:t>
        </w:r>
      </w:hyperlink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14:paraId="6A6E2E92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7A27B678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Close all subsidiary ledgers for the period, and open them for the following reporting period.</w:t>
      </w:r>
    </w:p>
    <w:p w14:paraId="609023D6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67145A68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Print a final version of the financial statements.</w:t>
      </w:r>
    </w:p>
    <w:p w14:paraId="12DD44B1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44595A2A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Write footnotes to accompany the financial statements.</w:t>
      </w:r>
    </w:p>
    <w:p w14:paraId="32E4CC02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CE15F94" w14:textId="77777777" w:rsidR="002A6F3E" w:rsidRDefault="008543AD" w:rsidP="002A6F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Provide a cover letter that explains key points in the financial statements.</w:t>
      </w:r>
    </w:p>
    <w:p w14:paraId="2D1C7B52" w14:textId="77777777" w:rsidR="002A6F3E" w:rsidRPr="002A6F3E" w:rsidRDefault="002A6F3E" w:rsidP="002A6F3E">
      <w:pPr>
        <w:pStyle w:val="ListParagrap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14628B38" w14:textId="020908E2" w:rsidR="005928CC" w:rsidRPr="002A6F3E" w:rsidRDefault="008543AD" w:rsidP="00854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2A6F3E">
        <w:rPr>
          <w:rFonts w:ascii="Arial" w:hAnsi="Arial" w:cs="Arial"/>
          <w:color w:val="111111"/>
          <w:sz w:val="20"/>
          <w:szCs w:val="20"/>
          <w:shd w:val="clear" w:color="auto" w:fill="FFFFFF"/>
        </w:rPr>
        <w:t>Distribute the financial statements.</w:t>
      </w:r>
    </w:p>
    <w:sectPr w:rsidR="005928CC" w:rsidRPr="002A6F3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DCB7" w14:textId="77777777" w:rsidR="00322516" w:rsidRDefault="00322516" w:rsidP="00AB6DA1">
      <w:pPr>
        <w:spacing w:after="0" w:line="240" w:lineRule="auto"/>
      </w:pPr>
      <w:r>
        <w:separator/>
      </w:r>
    </w:p>
  </w:endnote>
  <w:endnote w:type="continuationSeparator" w:id="0">
    <w:p w14:paraId="107C69BB" w14:textId="77777777" w:rsidR="00322516" w:rsidRDefault="00322516" w:rsidP="00AB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D7963" w14:textId="77777777" w:rsidR="00AB6DA1" w:rsidRDefault="00AB6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34F0" w14:textId="77777777" w:rsidR="00AB6DA1" w:rsidRDefault="00AB6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9E9A" w14:textId="77777777" w:rsidR="00AB6DA1" w:rsidRDefault="00AB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7DEF" w14:textId="77777777" w:rsidR="00322516" w:rsidRDefault="00322516" w:rsidP="00AB6DA1">
      <w:pPr>
        <w:spacing w:after="0" w:line="240" w:lineRule="auto"/>
      </w:pPr>
      <w:r>
        <w:separator/>
      </w:r>
    </w:p>
  </w:footnote>
  <w:footnote w:type="continuationSeparator" w:id="0">
    <w:p w14:paraId="1E375AF8" w14:textId="77777777" w:rsidR="00322516" w:rsidRDefault="00322516" w:rsidP="00AB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9493" w14:textId="066E39A9" w:rsidR="00AB6DA1" w:rsidRDefault="00AB6DA1">
    <w:pPr>
      <w:pStyle w:val="Header"/>
    </w:pPr>
    <w:r>
      <w:rPr>
        <w:noProof/>
      </w:rPr>
      <w:pict w14:anchorId="4DA6A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85pt;height:80.2pt;z-index:-251657216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0806" w14:textId="0E43458D" w:rsidR="00AB6DA1" w:rsidRDefault="00AB6DA1">
    <w:pPr>
      <w:pStyle w:val="Header"/>
    </w:pPr>
    <w:r>
      <w:rPr>
        <w:noProof/>
      </w:rPr>
      <w:pict w14:anchorId="45CFF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85pt;height:80.2pt;z-index:-251656192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99DF" w14:textId="5EBB2CBF" w:rsidR="00AB6DA1" w:rsidRDefault="00AB6DA1">
    <w:pPr>
      <w:pStyle w:val="Header"/>
    </w:pPr>
    <w:r>
      <w:rPr>
        <w:noProof/>
      </w:rPr>
      <w:pict w14:anchorId="4DB07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85pt;height:80.2pt;z-index:-251658240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686B"/>
    <w:multiLevelType w:val="multilevel"/>
    <w:tmpl w:val="F9501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3AD"/>
    <w:rsid w:val="00064297"/>
    <w:rsid w:val="002A6F3E"/>
    <w:rsid w:val="00322516"/>
    <w:rsid w:val="005928CC"/>
    <w:rsid w:val="008543AD"/>
    <w:rsid w:val="00A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E7B75B"/>
  <w15:docId w15:val="{1F1B9EB7-91E4-4442-9CA2-7AD8F59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543AD"/>
    <w:rPr>
      <w:color w:val="0000FF"/>
      <w:u w:val="single"/>
    </w:rPr>
  </w:style>
  <w:style w:type="character" w:customStyle="1" w:styleId="Date1">
    <w:name w:val="Date1"/>
    <w:basedOn w:val="DefaultParagraphFont"/>
    <w:rsid w:val="008543AD"/>
  </w:style>
  <w:style w:type="paragraph" w:styleId="NormalWeb">
    <w:name w:val="Normal (Web)"/>
    <w:basedOn w:val="Normal"/>
    <w:uiPriority w:val="99"/>
    <w:semiHidden/>
    <w:unhideWhenUsed/>
    <w:rsid w:val="0085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A1"/>
  </w:style>
  <w:style w:type="paragraph" w:styleId="Footer">
    <w:name w:val="footer"/>
    <w:basedOn w:val="Normal"/>
    <w:link w:val="FooterChar"/>
    <w:uiPriority w:val="99"/>
    <w:unhideWhenUsed/>
    <w:rsid w:val="00AB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302">
                  <w:marLeft w:val="-196"/>
                  <w:marRight w:val="-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tools.com/articles/2017/5/10/financial-statements" TargetMode="External"/><Relationship Id="rId13" Type="http://schemas.openxmlformats.org/officeDocument/2006/relationships/hyperlink" Target="https://www.accountingtools.com/articles/what-is-cash-flow.html" TargetMode="External"/><Relationship Id="rId18" Type="http://schemas.openxmlformats.org/officeDocument/2006/relationships/hyperlink" Target="https://www.accountingtools.com/articles/2017/5/11/reporting-period" TargetMode="External"/><Relationship Id="rId26" Type="http://schemas.openxmlformats.org/officeDocument/2006/relationships/hyperlink" Target="https://www.accountingtools.com/articles/2017/5/17/bank-reconciliation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accountingtools.com/articles/2017/5/10/fixed-asset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accountingtools.com/articles/financial-statement-preparation.html" TargetMode="External"/><Relationship Id="rId12" Type="http://schemas.openxmlformats.org/officeDocument/2006/relationships/hyperlink" Target="https://www.accountingtools.com/articles/2017/5/13/liquidity" TargetMode="External"/><Relationship Id="rId17" Type="http://schemas.openxmlformats.org/officeDocument/2006/relationships/hyperlink" Target="https://www.accountingtools.com/articles/2017/11/5/wage" TargetMode="External"/><Relationship Id="rId25" Type="http://schemas.openxmlformats.org/officeDocument/2006/relationships/hyperlink" Target="https://www.accountingtools.com/articles/2017/5/4/cost-of-goods-sold" TargetMode="External"/><Relationship Id="rId33" Type="http://schemas.openxmlformats.org/officeDocument/2006/relationships/hyperlink" Target="https://www.accountingtools.com/articles/2017/5/17/the-income-statement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accountingtools.com/articles/2017/5/7/accounts-receivable" TargetMode="External"/><Relationship Id="rId20" Type="http://schemas.openxmlformats.org/officeDocument/2006/relationships/hyperlink" Target="https://www.accountingtools.com/articles/2017/5/7/amortization-expense" TargetMode="External"/><Relationship Id="rId29" Type="http://schemas.openxmlformats.org/officeDocument/2006/relationships/hyperlink" Target="https://www.accountingtools.com/articles/what-is-a-subsidiary-ledger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countingtools.com/articles/2017/5/10/investor" TargetMode="External"/><Relationship Id="rId24" Type="http://schemas.openxmlformats.org/officeDocument/2006/relationships/hyperlink" Target="https://www.accountingtools.com/articles/2017/5/6/ending-inventory" TargetMode="External"/><Relationship Id="rId32" Type="http://schemas.openxmlformats.org/officeDocument/2006/relationships/hyperlink" Target="https://www.accountingtools.com/articles/2017/5/12/income-tax-expense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ccountingtools.com/articles/2017/5/5/accrual" TargetMode="External"/><Relationship Id="rId23" Type="http://schemas.openxmlformats.org/officeDocument/2006/relationships/hyperlink" Target="https://www.accountingtools.com/articles/2017/5/16/physical-count" TargetMode="External"/><Relationship Id="rId28" Type="http://schemas.openxmlformats.org/officeDocument/2006/relationships/hyperlink" Target="https://www.accountingtools.com/articles/what-is-a-bank-statement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accountingtools.com/articles/2017/5/4/creditor" TargetMode="External"/><Relationship Id="rId19" Type="http://schemas.openxmlformats.org/officeDocument/2006/relationships/hyperlink" Target="https://www.accountingtools.com/articles/2017/9/20/depreciation" TargetMode="External"/><Relationship Id="rId31" Type="http://schemas.openxmlformats.org/officeDocument/2006/relationships/hyperlink" Target="https://www.accountingtools.com/articles/2017/5/17/the-balance-she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ountingtools.com/articles/2017/5/9/lender" TargetMode="External"/><Relationship Id="rId14" Type="http://schemas.openxmlformats.org/officeDocument/2006/relationships/hyperlink" Target="https://www.accountingtools.com/articles/2017/5/5/accounts-payable" TargetMode="External"/><Relationship Id="rId22" Type="http://schemas.openxmlformats.org/officeDocument/2006/relationships/hyperlink" Target="https://www.accountingtools.com/articles/2017/5/7/accounting-records" TargetMode="External"/><Relationship Id="rId27" Type="http://schemas.openxmlformats.org/officeDocument/2006/relationships/hyperlink" Target="https://www.accountingtools.com/articles/what-is-a-journal-entry.html" TargetMode="External"/><Relationship Id="rId30" Type="http://schemas.openxmlformats.org/officeDocument/2006/relationships/hyperlink" Target="https://www.accountingtools.com/articles/2017/5/9/general-ledger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Amit Singh</cp:lastModifiedBy>
  <cp:revision>21</cp:revision>
  <dcterms:created xsi:type="dcterms:W3CDTF">2020-04-03T15:56:00Z</dcterms:created>
  <dcterms:modified xsi:type="dcterms:W3CDTF">2020-04-17T06:06:00Z</dcterms:modified>
</cp:coreProperties>
</file>